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4737B" w14:textId="77777777" w:rsidR="00C1756E" w:rsidRDefault="00C1756E" w:rsidP="006051BD">
      <w:pPr>
        <w:jc w:val="center"/>
        <w:rPr>
          <w:rFonts w:ascii="Arial" w:hAnsi="Arial"/>
          <w:b/>
          <w:u w:val="single"/>
        </w:rPr>
      </w:pPr>
    </w:p>
    <w:p w14:paraId="59AF2A58" w14:textId="0143A708" w:rsidR="005A4679" w:rsidRDefault="005A4679" w:rsidP="006051BD">
      <w:pPr>
        <w:jc w:val="center"/>
        <w:rPr>
          <w:rFonts w:ascii="Arial" w:hAnsi="Arial"/>
          <w:b/>
          <w:u w:val="single"/>
        </w:rPr>
      </w:pPr>
    </w:p>
    <w:p w14:paraId="2FF86B0E" w14:textId="2F409A7A" w:rsidR="00C1756E" w:rsidRDefault="00C1756E" w:rsidP="00AF5F5C">
      <w:pPr>
        <w:jc w:val="center"/>
        <w:rPr>
          <w:rFonts w:ascii="Arial" w:hAnsi="Arial"/>
          <w:caps/>
          <w:spacing w:val="30"/>
          <w:u w:val="single"/>
        </w:rPr>
      </w:pPr>
    </w:p>
    <w:p w14:paraId="5C730120" w14:textId="77777777" w:rsidR="007148A1" w:rsidRDefault="007148A1" w:rsidP="00AF5F5C">
      <w:pPr>
        <w:jc w:val="center"/>
        <w:rPr>
          <w:rFonts w:ascii="Arial" w:hAnsi="Arial"/>
          <w:caps/>
          <w:spacing w:val="30"/>
          <w:u w:val="single"/>
        </w:rPr>
      </w:pPr>
    </w:p>
    <w:p w14:paraId="4026A830" w14:textId="77777777" w:rsidR="00713B86" w:rsidRDefault="00713B86" w:rsidP="00AF5F5C">
      <w:pPr>
        <w:jc w:val="center"/>
        <w:rPr>
          <w:rFonts w:ascii="Arial" w:hAnsi="Arial"/>
          <w:caps/>
          <w:spacing w:val="30"/>
          <w:u w:val="single"/>
        </w:rPr>
      </w:pPr>
    </w:p>
    <w:p w14:paraId="2B8CAE64" w14:textId="36CF7420" w:rsidR="00713B86" w:rsidRPr="00713B86" w:rsidRDefault="00713B86" w:rsidP="00713B86">
      <w:pPr>
        <w:keepNext/>
        <w:jc w:val="center"/>
        <w:rPr>
          <w:rFonts w:ascii="Arial" w:hAnsi="Arial"/>
          <w:b/>
          <w:bCs/>
          <w:color w:val="00529F"/>
          <w:sz w:val="40"/>
          <w:szCs w:val="40"/>
          <w:lang w:val="pt-PT"/>
        </w:rPr>
      </w:pPr>
      <w:r w:rsidRPr="00713B86">
        <w:rPr>
          <w:rFonts w:ascii="Arial" w:hAnsi="Arial"/>
          <w:b/>
          <w:bCs/>
          <w:color w:val="00529F"/>
          <w:sz w:val="40"/>
          <w:szCs w:val="40"/>
          <w:lang w:val="pt-PT"/>
        </w:rPr>
        <w:t>Board of Governors’Annual Meeting</w:t>
      </w:r>
    </w:p>
    <w:p w14:paraId="0AE361D0" w14:textId="77777777" w:rsidR="00AF5F5C" w:rsidRPr="00C1756E" w:rsidRDefault="00AF5F5C" w:rsidP="00AF5F5C">
      <w:pPr>
        <w:jc w:val="center"/>
        <w:rPr>
          <w:rFonts w:ascii="Arial" w:hAnsi="Arial"/>
          <w:caps/>
          <w:spacing w:val="30"/>
          <w:sz w:val="16"/>
          <w:szCs w:val="16"/>
          <w:u w:val="single"/>
        </w:rPr>
      </w:pPr>
    </w:p>
    <w:p w14:paraId="502C1332" w14:textId="77777777" w:rsidR="005A4679" w:rsidRDefault="005A4679" w:rsidP="006051BD">
      <w:pPr>
        <w:jc w:val="center"/>
        <w:rPr>
          <w:rFonts w:ascii="Arial" w:hAnsi="Arial"/>
          <w:b/>
          <w:u w:val="single"/>
        </w:rPr>
      </w:pPr>
    </w:p>
    <w:p w14:paraId="222B23A1" w14:textId="40E17ACE" w:rsidR="000E2B19" w:rsidRPr="00713B86" w:rsidRDefault="00713B86" w:rsidP="00713B86">
      <w:pPr>
        <w:jc w:val="center"/>
        <w:rPr>
          <w:rFonts w:ascii="Arial" w:hAnsi="Arial"/>
          <w:u w:val="single"/>
        </w:rPr>
      </w:pPr>
      <w:r w:rsidRPr="00713B86">
        <w:rPr>
          <w:rFonts w:ascii="Arial" w:hAnsi="Arial" w:cs="Arial"/>
          <w:b/>
          <w:bCs/>
          <w:color w:val="00529F"/>
          <w:u w:val="single"/>
        </w:rPr>
        <w:t>VOTING DELEGATION</w:t>
      </w:r>
    </w:p>
    <w:p w14:paraId="6C029FDE" w14:textId="77777777" w:rsidR="002B060A" w:rsidRDefault="002B060A">
      <w:pPr>
        <w:rPr>
          <w:rFonts w:ascii="Arial" w:hAnsi="Arial"/>
          <w:b/>
        </w:rPr>
      </w:pPr>
    </w:p>
    <w:p w14:paraId="40559BA3" w14:textId="77777777" w:rsidR="007148A1" w:rsidRDefault="007148A1">
      <w:pPr>
        <w:rPr>
          <w:rFonts w:ascii="Arial" w:hAnsi="Arial"/>
          <w:b/>
        </w:rPr>
      </w:pPr>
    </w:p>
    <w:p w14:paraId="3BBBF352" w14:textId="09C0B111" w:rsidR="00A127C2" w:rsidRDefault="00A127C2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Voting at Board </w:t>
      </w:r>
      <w:r w:rsidR="00112524">
        <w:rPr>
          <w:rFonts w:ascii="Arial" w:hAnsi="Arial"/>
          <w:b/>
        </w:rPr>
        <w:t xml:space="preserve">of Governors’ </w:t>
      </w:r>
      <w:r>
        <w:rPr>
          <w:rFonts w:ascii="Arial" w:hAnsi="Arial"/>
          <w:b/>
        </w:rPr>
        <w:t>meetings</w:t>
      </w:r>
    </w:p>
    <w:p w14:paraId="34726B61" w14:textId="77777777" w:rsidR="00676DD9" w:rsidRDefault="00676DD9" w:rsidP="00676DD9">
      <w:pPr>
        <w:rPr>
          <w:rFonts w:ascii="Arial" w:hAnsi="Arial"/>
        </w:rPr>
      </w:pPr>
    </w:p>
    <w:p w14:paraId="248E32DE" w14:textId="42FF1B6A" w:rsidR="00112524" w:rsidRDefault="00112524" w:rsidP="00377109">
      <w:pPr>
        <w:jc w:val="both"/>
        <w:rPr>
          <w:rFonts w:ascii="Arial" w:hAnsi="Arial"/>
        </w:rPr>
      </w:pPr>
      <w:r>
        <w:rPr>
          <w:rFonts w:ascii="Arial" w:hAnsi="Arial"/>
        </w:rPr>
        <w:t>In accordance with Article 6 of the Rules of Procedure, where a Governor is prevented from attending a meeting of the Board of Governors, he/she may delegate his/her vote in writing to another member of the Board of Governors who will act as his/her proxy at the meeting and will vote in his</w:t>
      </w:r>
      <w:r w:rsidR="00D50F2D">
        <w:rPr>
          <w:rFonts w:ascii="Arial" w:hAnsi="Arial"/>
        </w:rPr>
        <w:t>/her</w:t>
      </w:r>
      <w:r>
        <w:rPr>
          <w:rFonts w:ascii="Arial" w:hAnsi="Arial"/>
        </w:rPr>
        <w:t xml:space="preserve"> stead.</w:t>
      </w:r>
    </w:p>
    <w:p w14:paraId="7E424530" w14:textId="77777777" w:rsidR="00112524" w:rsidRDefault="00112524" w:rsidP="00377109">
      <w:pPr>
        <w:jc w:val="both"/>
        <w:rPr>
          <w:rFonts w:ascii="Arial" w:hAnsi="Arial"/>
        </w:rPr>
      </w:pPr>
    </w:p>
    <w:p w14:paraId="4F653AC6" w14:textId="6B8B5634" w:rsidR="006B489F" w:rsidRPr="00E95291" w:rsidRDefault="00676DD9" w:rsidP="00377109">
      <w:pPr>
        <w:jc w:val="both"/>
        <w:rPr>
          <w:rFonts w:ascii="Arial" w:hAnsi="Arial" w:cs="Arial"/>
          <w:b/>
          <w:bCs/>
          <w:color w:val="00529F"/>
        </w:rPr>
      </w:pPr>
      <w:r>
        <w:rPr>
          <w:rFonts w:ascii="Arial" w:hAnsi="Arial"/>
        </w:rPr>
        <w:t>Please specify w</w:t>
      </w:r>
      <w:r w:rsidR="00A127C2">
        <w:rPr>
          <w:rFonts w:ascii="Arial" w:hAnsi="Arial"/>
        </w:rPr>
        <w:t xml:space="preserve">hich </w:t>
      </w:r>
      <w:r w:rsidR="00112524">
        <w:rPr>
          <w:rFonts w:ascii="Arial" w:hAnsi="Arial"/>
        </w:rPr>
        <w:t>Governor</w:t>
      </w:r>
      <w:r w:rsidR="001C5954">
        <w:rPr>
          <w:rStyle w:val="FootnoteReference"/>
          <w:rFonts w:ascii="Arial" w:hAnsi="Arial"/>
        </w:rPr>
        <w:footnoteReference w:id="1"/>
      </w:r>
      <w:r w:rsidR="00A127C2">
        <w:rPr>
          <w:rFonts w:ascii="Arial" w:hAnsi="Arial"/>
        </w:rPr>
        <w:t xml:space="preserve"> is</w:t>
      </w:r>
      <w:r>
        <w:rPr>
          <w:rFonts w:ascii="Arial" w:hAnsi="Arial"/>
        </w:rPr>
        <w:t xml:space="preserve"> </w:t>
      </w:r>
      <w:r w:rsidR="00A127C2">
        <w:rPr>
          <w:rFonts w:ascii="Arial" w:hAnsi="Arial"/>
        </w:rPr>
        <w:t xml:space="preserve">to represent you </w:t>
      </w:r>
      <w:r w:rsidR="00112524">
        <w:rPr>
          <w:rFonts w:ascii="Arial" w:hAnsi="Arial"/>
        </w:rPr>
        <w:t xml:space="preserve">if </w:t>
      </w:r>
      <w:r w:rsidR="00A127C2">
        <w:rPr>
          <w:rFonts w:ascii="Arial" w:hAnsi="Arial"/>
        </w:rPr>
        <w:t>you are unable to attend</w:t>
      </w:r>
      <w:r w:rsidR="00112524">
        <w:rPr>
          <w:rFonts w:ascii="Arial" w:hAnsi="Arial"/>
        </w:rPr>
        <w:t xml:space="preserve"> the Board of Governors’ Annual meeting</w:t>
      </w:r>
      <w:r w:rsidR="00377109">
        <w:rPr>
          <w:rFonts w:ascii="Arial" w:hAnsi="Arial"/>
        </w:rPr>
        <w:t xml:space="preserve"> to be held on </w:t>
      </w:r>
      <w:r w:rsidR="00CE3C05">
        <w:rPr>
          <w:rFonts w:ascii="Arial" w:hAnsi="Arial"/>
        </w:rPr>
        <w:t>2</w:t>
      </w:r>
      <w:r w:rsidR="00AD3B82">
        <w:rPr>
          <w:rFonts w:ascii="Arial" w:hAnsi="Arial"/>
        </w:rPr>
        <w:t>0</w:t>
      </w:r>
      <w:r w:rsidR="00902648">
        <w:rPr>
          <w:rFonts w:ascii="Arial" w:hAnsi="Arial"/>
        </w:rPr>
        <w:t xml:space="preserve"> June </w:t>
      </w:r>
      <w:r w:rsidR="00377109">
        <w:rPr>
          <w:rFonts w:ascii="Arial" w:hAnsi="Arial"/>
        </w:rPr>
        <w:t>202</w:t>
      </w:r>
      <w:r w:rsidR="00AD3B82">
        <w:rPr>
          <w:rFonts w:ascii="Arial" w:hAnsi="Arial"/>
        </w:rPr>
        <w:t>5</w:t>
      </w:r>
      <w:r w:rsidR="00112524">
        <w:rPr>
          <w:rFonts w:ascii="Arial" w:hAnsi="Arial"/>
        </w:rPr>
        <w:t>.</w:t>
      </w:r>
      <w:r w:rsidR="00A127C2">
        <w:rPr>
          <w:rFonts w:ascii="Arial" w:hAnsi="Arial"/>
        </w:rPr>
        <w:t xml:space="preserve"> </w:t>
      </w:r>
      <w:r w:rsidR="00E95291">
        <w:rPr>
          <w:rFonts w:ascii="Arial" w:hAnsi="Arial"/>
        </w:rPr>
        <w:t xml:space="preserve">Kindly return this voting delegation to </w:t>
      </w:r>
      <w:r w:rsidR="00163D2A">
        <w:rPr>
          <w:rFonts w:ascii="Arial" w:hAnsi="Arial"/>
        </w:rPr>
        <w:t xml:space="preserve">the </w:t>
      </w:r>
      <w:r w:rsidR="00E95291">
        <w:rPr>
          <w:rFonts w:ascii="Arial" w:hAnsi="Arial"/>
        </w:rPr>
        <w:t xml:space="preserve">EIB </w:t>
      </w:r>
      <w:r w:rsidR="00163D2A">
        <w:rPr>
          <w:rFonts w:ascii="Arial" w:hAnsi="Arial"/>
        </w:rPr>
        <w:t xml:space="preserve">Board of </w:t>
      </w:r>
      <w:r w:rsidR="00E95291">
        <w:rPr>
          <w:rFonts w:ascii="Arial" w:hAnsi="Arial"/>
        </w:rPr>
        <w:t>Governors</w:t>
      </w:r>
      <w:r w:rsidR="00163D2A">
        <w:rPr>
          <w:rFonts w:ascii="Arial" w:hAnsi="Arial"/>
        </w:rPr>
        <w:t>’</w:t>
      </w:r>
      <w:r w:rsidR="00E95291">
        <w:rPr>
          <w:rFonts w:ascii="Arial" w:hAnsi="Arial"/>
        </w:rPr>
        <w:t xml:space="preserve"> Secretariat </w:t>
      </w:r>
      <w:r w:rsidR="00163D2A">
        <w:rPr>
          <w:rFonts w:ascii="Arial" w:hAnsi="Arial"/>
        </w:rPr>
        <w:t>(</w:t>
      </w:r>
      <w:hyperlink r:id="rId7" w:history="1">
        <w:r w:rsidR="00163D2A" w:rsidRPr="00AE6F8A">
          <w:rPr>
            <w:rStyle w:val="Hyperlink"/>
            <w:rFonts w:ascii="Arial" w:hAnsi="Arial"/>
          </w:rPr>
          <w:t>eibgovernors@eib.org</w:t>
        </w:r>
      </w:hyperlink>
      <w:r w:rsidR="00163D2A">
        <w:rPr>
          <w:rFonts w:ascii="Arial" w:hAnsi="Arial"/>
        </w:rPr>
        <w:t>)</w:t>
      </w:r>
      <w:r w:rsidR="00E95291">
        <w:rPr>
          <w:rFonts w:ascii="Arial" w:hAnsi="Arial"/>
        </w:rPr>
        <w:t xml:space="preserve"> by </w:t>
      </w:r>
      <w:r w:rsidR="00AF366B">
        <w:rPr>
          <w:rFonts w:ascii="Arial" w:hAnsi="Arial" w:cs="Arial"/>
          <w:b/>
          <w:bCs/>
          <w:color w:val="00529F"/>
        </w:rPr>
        <w:t>Tuesday</w:t>
      </w:r>
      <w:r w:rsidR="00E95291" w:rsidRPr="00E95291">
        <w:rPr>
          <w:rFonts w:ascii="Arial" w:hAnsi="Arial" w:cs="Arial"/>
          <w:b/>
          <w:bCs/>
          <w:color w:val="00529F"/>
        </w:rPr>
        <w:t xml:space="preserve">, </w:t>
      </w:r>
      <w:r w:rsidR="00AF366B">
        <w:rPr>
          <w:rFonts w:ascii="Arial" w:hAnsi="Arial" w:cs="Arial"/>
          <w:b/>
          <w:bCs/>
          <w:color w:val="00529F"/>
        </w:rPr>
        <w:t>10</w:t>
      </w:r>
      <w:r w:rsidR="00E95291" w:rsidRPr="00E95291">
        <w:rPr>
          <w:rFonts w:ascii="Arial" w:hAnsi="Arial" w:cs="Arial"/>
          <w:b/>
          <w:bCs/>
          <w:color w:val="00529F"/>
        </w:rPr>
        <w:t xml:space="preserve"> June 202</w:t>
      </w:r>
      <w:r w:rsidR="00AD3B82">
        <w:rPr>
          <w:rFonts w:ascii="Arial" w:hAnsi="Arial" w:cs="Arial"/>
          <w:b/>
          <w:bCs/>
          <w:color w:val="00529F"/>
        </w:rPr>
        <w:t>5</w:t>
      </w:r>
      <w:r w:rsidR="00E95291" w:rsidRPr="00E95291">
        <w:rPr>
          <w:rFonts w:ascii="Arial" w:hAnsi="Arial" w:cs="Arial"/>
          <w:b/>
          <w:bCs/>
          <w:color w:val="00529F"/>
        </w:rPr>
        <w:t xml:space="preserve">. </w:t>
      </w:r>
    </w:p>
    <w:p w14:paraId="798C8CFA" w14:textId="77777777" w:rsidR="001777A5" w:rsidRDefault="001777A5" w:rsidP="001777A5">
      <w:pPr>
        <w:pBdr>
          <w:bottom w:val="single" w:sz="4" w:space="3" w:color="auto"/>
        </w:pBdr>
        <w:rPr>
          <w:rFonts w:ascii="Arial" w:hAnsi="Arial"/>
          <w:u w:val="single"/>
        </w:rPr>
      </w:pPr>
    </w:p>
    <w:p w14:paraId="200944DD" w14:textId="77777777" w:rsidR="006051BD" w:rsidRPr="001777A5" w:rsidRDefault="006051BD" w:rsidP="001777A5">
      <w:pPr>
        <w:pBdr>
          <w:bottom w:val="single" w:sz="4" w:space="3" w:color="auto"/>
        </w:pBdr>
        <w:rPr>
          <w:rFonts w:ascii="Arial" w:hAnsi="Arial"/>
          <w:u w:val="single"/>
        </w:rPr>
      </w:pPr>
    </w:p>
    <w:p w14:paraId="1EA39772" w14:textId="77777777" w:rsidR="001777A5" w:rsidRDefault="001777A5" w:rsidP="000E2B19">
      <w:pPr>
        <w:tabs>
          <w:tab w:val="left" w:pos="240"/>
        </w:tabs>
        <w:rPr>
          <w:rFonts w:ascii="Arial" w:hAnsi="Arial"/>
          <w:sz w:val="22"/>
          <w:szCs w:val="22"/>
        </w:rPr>
      </w:pPr>
    </w:p>
    <w:p w14:paraId="04F5BCFF" w14:textId="77777777" w:rsidR="00676DD9" w:rsidRPr="001777A5" w:rsidRDefault="00676DD9" w:rsidP="00676DD9">
      <w:pPr>
        <w:pBdr>
          <w:bottom w:val="single" w:sz="4" w:space="3" w:color="auto"/>
        </w:pBdr>
        <w:rPr>
          <w:rFonts w:ascii="Arial" w:hAnsi="Arial"/>
          <w:u w:val="single"/>
        </w:rPr>
      </w:pPr>
    </w:p>
    <w:p w14:paraId="6260282D" w14:textId="77777777" w:rsidR="00676DD9" w:rsidRDefault="00676DD9" w:rsidP="00676DD9">
      <w:pPr>
        <w:tabs>
          <w:tab w:val="left" w:pos="240"/>
        </w:tabs>
        <w:rPr>
          <w:rFonts w:ascii="Arial" w:hAnsi="Arial"/>
          <w:sz w:val="22"/>
          <w:szCs w:val="22"/>
        </w:rPr>
      </w:pPr>
    </w:p>
    <w:p w14:paraId="1DF22044" w14:textId="77777777" w:rsidR="006051BD" w:rsidRDefault="006051BD" w:rsidP="000E2B19">
      <w:pPr>
        <w:tabs>
          <w:tab w:val="left" w:pos="240"/>
        </w:tabs>
        <w:rPr>
          <w:rFonts w:ascii="Arial" w:hAnsi="Arial"/>
          <w:sz w:val="22"/>
          <w:szCs w:val="22"/>
        </w:rPr>
      </w:pPr>
    </w:p>
    <w:p w14:paraId="6CCC82FA" w14:textId="77777777" w:rsidR="00726D3A" w:rsidRDefault="00726D3A" w:rsidP="000E2B19">
      <w:pPr>
        <w:tabs>
          <w:tab w:val="left" w:pos="240"/>
        </w:tabs>
        <w:rPr>
          <w:rFonts w:ascii="Arial" w:hAnsi="Arial"/>
          <w:sz w:val="22"/>
          <w:szCs w:val="22"/>
        </w:rPr>
      </w:pPr>
    </w:p>
    <w:p w14:paraId="7CC9AC73" w14:textId="77777777" w:rsidR="00726D3A" w:rsidRDefault="00726D3A" w:rsidP="000E2B19">
      <w:pPr>
        <w:tabs>
          <w:tab w:val="left" w:pos="240"/>
        </w:tabs>
        <w:rPr>
          <w:rFonts w:ascii="Arial" w:hAnsi="Arial"/>
          <w:sz w:val="22"/>
          <w:szCs w:val="22"/>
        </w:rPr>
      </w:pPr>
    </w:p>
    <w:p w14:paraId="5FE9ACE3" w14:textId="77777777" w:rsidR="00726D3A" w:rsidRDefault="00726D3A" w:rsidP="000E2B19">
      <w:pPr>
        <w:tabs>
          <w:tab w:val="left" w:pos="240"/>
        </w:tabs>
        <w:rPr>
          <w:rFonts w:ascii="Arial" w:hAnsi="Arial"/>
          <w:sz w:val="22"/>
          <w:szCs w:val="22"/>
        </w:rPr>
      </w:pPr>
    </w:p>
    <w:p w14:paraId="229A7D13" w14:textId="77777777" w:rsidR="00726D3A" w:rsidRDefault="00726D3A" w:rsidP="000E2B19">
      <w:pPr>
        <w:tabs>
          <w:tab w:val="left" w:pos="240"/>
        </w:tabs>
        <w:rPr>
          <w:rFonts w:ascii="Arial" w:hAnsi="Arial"/>
          <w:sz w:val="22"/>
          <w:szCs w:val="22"/>
        </w:rPr>
      </w:pPr>
    </w:p>
    <w:p w14:paraId="1BBCF801" w14:textId="77777777" w:rsidR="001777A5" w:rsidRDefault="001777A5" w:rsidP="000E2B19">
      <w:pPr>
        <w:tabs>
          <w:tab w:val="left" w:pos="240"/>
        </w:tabs>
        <w:rPr>
          <w:rFonts w:ascii="Arial" w:hAnsi="Arial"/>
          <w:sz w:val="22"/>
          <w:szCs w:val="22"/>
        </w:rPr>
      </w:pPr>
    </w:p>
    <w:p w14:paraId="3B82F762" w14:textId="77777777" w:rsidR="001777A5" w:rsidRDefault="001777A5" w:rsidP="000E2B19">
      <w:pPr>
        <w:tabs>
          <w:tab w:val="left" w:pos="240"/>
        </w:tabs>
        <w:rPr>
          <w:rFonts w:ascii="Arial" w:hAnsi="Arial"/>
          <w:sz w:val="22"/>
          <w:szCs w:val="22"/>
        </w:rPr>
      </w:pPr>
    </w:p>
    <w:p w14:paraId="2A594D35" w14:textId="77777777" w:rsidR="00AD3B64" w:rsidRPr="00E027B3" w:rsidRDefault="00AD3B64" w:rsidP="00AD3B64">
      <w:pPr>
        <w:jc w:val="right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3EF3C598" w14:textId="77777777" w:rsidR="00AD3B64" w:rsidRDefault="00C1756E" w:rsidP="00C1756E">
      <w:pPr>
        <w:jc w:val="right"/>
        <w:rPr>
          <w:rFonts w:ascii="Arial" w:hAnsi="Arial"/>
          <w:i/>
        </w:rPr>
      </w:pPr>
      <w:r>
        <w:rPr>
          <w:rFonts w:ascii="Arial" w:hAnsi="Arial"/>
          <w:i/>
        </w:rPr>
        <w:t>Signature and date</w:t>
      </w:r>
    </w:p>
    <w:sectPr w:rsidR="00AD3B64" w:rsidSect="00C1756E">
      <w:headerReference w:type="default" r:id="rId8"/>
      <w:footerReference w:type="default" r:id="rId9"/>
      <w:pgSz w:w="11906" w:h="16838" w:code="9"/>
      <w:pgMar w:top="1134" w:right="1304" w:bottom="851" w:left="130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0E66E" w14:textId="77777777" w:rsidR="00C11466" w:rsidRDefault="00C11466">
      <w:r>
        <w:separator/>
      </w:r>
    </w:p>
  </w:endnote>
  <w:endnote w:type="continuationSeparator" w:id="0">
    <w:p w14:paraId="2DA90872" w14:textId="77777777" w:rsidR="00C11466" w:rsidRDefault="00C1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D5D47" w14:textId="77777777" w:rsidR="002B060A" w:rsidRDefault="002B060A" w:rsidP="002B060A">
    <w:pPr>
      <w:pStyle w:val="Footer"/>
      <w:ind w:right="360"/>
      <w:rPr>
        <w:rFonts w:ascii="Arial" w:hAnsi="Arial" w:cs="Arial"/>
        <w:sz w:val="14"/>
        <w:szCs w:val="14"/>
      </w:rPr>
    </w:pPr>
  </w:p>
  <w:p w14:paraId="4CE0248A" w14:textId="77777777" w:rsidR="002B060A" w:rsidRPr="002B060A" w:rsidRDefault="002B060A" w:rsidP="002B060A">
    <w:pPr>
      <w:pStyle w:val="Footer"/>
      <w:ind w:right="360"/>
      <w:rPr>
        <w:rFonts w:ascii="Arial" w:hAnsi="Arial" w:cs="Arial"/>
        <w:sz w:val="14"/>
        <w:szCs w:val="14"/>
      </w:rPr>
    </w:pPr>
    <w:r w:rsidRPr="002B060A">
      <w:rPr>
        <w:rFonts w:ascii="Arial" w:hAnsi="Arial" w:cs="Arial"/>
        <w:sz w:val="14"/>
        <w:szCs w:val="14"/>
      </w:rPr>
      <w:t xml:space="preserve">Please address all correspondence to: </w:t>
    </w:r>
    <w:r w:rsidR="00902648" w:rsidRPr="00902648">
      <w:rPr>
        <w:rFonts w:ascii="Arial" w:hAnsi="Arial" w:cs="Arial"/>
        <w:sz w:val="14"/>
        <w:szCs w:val="14"/>
      </w:rPr>
      <w:t>eibgovernors@eib.org</w:t>
    </w:r>
    <w:r w:rsidRPr="002B060A">
      <w:rPr>
        <w:rFonts w:ascii="Arial" w:hAnsi="Arial" w:cs="Arial"/>
        <w:sz w:val="14"/>
        <w:szCs w:val="14"/>
      </w:rPr>
      <w:t xml:space="preserve"> – office EKI 6.5.</w:t>
    </w:r>
    <w:r w:rsidR="00902648">
      <w:rPr>
        <w:rFonts w:ascii="Arial" w:hAnsi="Arial" w:cs="Arial"/>
        <w:sz w:val="14"/>
        <w:szCs w:val="14"/>
      </w:rPr>
      <w:t>1</w:t>
    </w:r>
    <w:r w:rsidRPr="002B060A">
      <w:rPr>
        <w:rFonts w:ascii="Arial" w:hAnsi="Arial" w:cs="Arial"/>
        <w:sz w:val="14"/>
        <w:szCs w:val="14"/>
      </w:rPr>
      <w:t>0; 98-100, boulevard Konrad Adenauer; L-2950 Luxembourg</w:t>
    </w:r>
  </w:p>
  <w:p w14:paraId="4DE6A15E" w14:textId="77777777" w:rsidR="004719BE" w:rsidRPr="002B060A" w:rsidRDefault="004719BE" w:rsidP="00AD3B64">
    <w:pPr>
      <w:pStyle w:val="Footer"/>
      <w:ind w:right="360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AA56B" w14:textId="77777777" w:rsidR="00C11466" w:rsidRDefault="00C11466">
      <w:r>
        <w:separator/>
      </w:r>
    </w:p>
  </w:footnote>
  <w:footnote w:type="continuationSeparator" w:id="0">
    <w:p w14:paraId="550E6DEB" w14:textId="77777777" w:rsidR="00C11466" w:rsidRDefault="00C11466">
      <w:r>
        <w:continuationSeparator/>
      </w:r>
    </w:p>
  </w:footnote>
  <w:footnote w:id="1">
    <w:p w14:paraId="2D3A5E10" w14:textId="77777777" w:rsidR="001C5954" w:rsidRPr="00C1756E" w:rsidRDefault="001C5954" w:rsidP="001C5954">
      <w:pPr>
        <w:pStyle w:val="FootnoteText"/>
        <w:ind w:left="284" w:hanging="284"/>
        <w:rPr>
          <w:rFonts w:ascii="Arial" w:hAnsi="Arial" w:cs="Arial"/>
        </w:rPr>
      </w:pPr>
      <w:r w:rsidRPr="00C1756E">
        <w:rPr>
          <w:rStyle w:val="FootnoteReference"/>
          <w:rFonts w:ascii="Arial" w:hAnsi="Arial" w:cs="Arial"/>
        </w:rPr>
        <w:footnoteRef/>
      </w:r>
      <w:r w:rsidRPr="00C1756E">
        <w:rPr>
          <w:rFonts w:ascii="Arial" w:hAnsi="Arial" w:cs="Arial"/>
        </w:rPr>
        <w:t xml:space="preserve"> </w:t>
      </w:r>
      <w:r w:rsidRPr="00C1756E">
        <w:rPr>
          <w:rFonts w:ascii="Arial" w:hAnsi="Arial" w:cs="Arial"/>
        </w:rPr>
        <w:tab/>
        <w:t xml:space="preserve">Article </w:t>
      </w:r>
      <w:r w:rsidR="00D50F2D">
        <w:rPr>
          <w:rFonts w:ascii="Arial" w:hAnsi="Arial" w:cs="Arial"/>
        </w:rPr>
        <w:t xml:space="preserve">6 of the Bank’s Rules of Procedure </w:t>
      </w:r>
      <w:r w:rsidRPr="00C1756E">
        <w:rPr>
          <w:rFonts w:ascii="Arial" w:hAnsi="Arial" w:cs="Arial"/>
        </w:rPr>
        <w:t xml:space="preserve">provides that </w:t>
      </w:r>
      <w:r w:rsidR="00D50F2D">
        <w:rPr>
          <w:rFonts w:ascii="Arial" w:hAnsi="Arial" w:cs="Arial"/>
        </w:rPr>
        <w:t>“</w:t>
      </w:r>
      <w:r w:rsidR="00D50F2D" w:rsidRPr="00D50F2D">
        <w:rPr>
          <w:rFonts w:ascii="Arial" w:hAnsi="Arial" w:cs="Arial"/>
          <w:i/>
        </w:rPr>
        <w:t>each Governor may receive written authorisation from not more than one of his colleagues to act as his proxy at a meeting of the Board of Governors and to vote in his stead</w:t>
      </w:r>
      <w:r w:rsidR="00D50F2D">
        <w:rPr>
          <w:rFonts w:ascii="Arial" w:hAnsi="Arial" w:cs="Arial"/>
        </w:rPr>
        <w:t>”</w:t>
      </w:r>
      <w:r w:rsidR="00D50F2D" w:rsidRPr="00D50F2D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AA217" w14:textId="6ACCD891" w:rsidR="00713B86" w:rsidRDefault="00713B86">
    <w:pPr>
      <w:pStyle w:val="Header"/>
    </w:pPr>
    <w:r w:rsidRPr="00713B86">
      <w:rPr>
        <w:rFonts w:ascii="Arial" w:hAnsi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F9D2816" wp14:editId="5E0D83F2">
          <wp:simplePos x="0" y="0"/>
          <wp:positionH relativeFrom="column">
            <wp:posOffset>-148590</wp:posOffset>
          </wp:positionH>
          <wp:positionV relativeFrom="paragraph">
            <wp:posOffset>-253365</wp:posOffset>
          </wp:positionV>
          <wp:extent cx="1447800" cy="927100"/>
          <wp:effectExtent l="0" t="0" r="0" b="635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25" t="17586" r="7502" b="16085"/>
                  <a:stretch/>
                </pic:blipFill>
                <pic:spPr bwMode="auto">
                  <a:xfrm>
                    <a:off x="0" y="0"/>
                    <a:ext cx="1447800" cy="927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8052A5"/>
    <w:multiLevelType w:val="hybridMultilevel"/>
    <w:tmpl w:val="87A682FA"/>
    <w:lvl w:ilvl="0" w:tplc="CE4E39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A1A0E"/>
    <w:multiLevelType w:val="hybridMultilevel"/>
    <w:tmpl w:val="60C043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541139">
    <w:abstractNumId w:val="1"/>
  </w:num>
  <w:num w:numId="2" w16cid:durableId="175289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DBE"/>
    <w:rsid w:val="00072247"/>
    <w:rsid w:val="00080361"/>
    <w:rsid w:val="000908F4"/>
    <w:rsid w:val="000E2100"/>
    <w:rsid w:val="000E2B19"/>
    <w:rsid w:val="00112524"/>
    <w:rsid w:val="00163D2A"/>
    <w:rsid w:val="001777A5"/>
    <w:rsid w:val="00181DBD"/>
    <w:rsid w:val="00184012"/>
    <w:rsid w:val="00196A10"/>
    <w:rsid w:val="001C5954"/>
    <w:rsid w:val="001E6C61"/>
    <w:rsid w:val="00220D01"/>
    <w:rsid w:val="002B060A"/>
    <w:rsid w:val="0030443D"/>
    <w:rsid w:val="00343AB5"/>
    <w:rsid w:val="00377109"/>
    <w:rsid w:val="00394B44"/>
    <w:rsid w:val="003A4416"/>
    <w:rsid w:val="003D0168"/>
    <w:rsid w:val="003D2F07"/>
    <w:rsid w:val="003F4406"/>
    <w:rsid w:val="00446C46"/>
    <w:rsid w:val="004701B5"/>
    <w:rsid w:val="004719BE"/>
    <w:rsid w:val="004809DB"/>
    <w:rsid w:val="004D769A"/>
    <w:rsid w:val="00543F8D"/>
    <w:rsid w:val="00564792"/>
    <w:rsid w:val="00587C53"/>
    <w:rsid w:val="005A0100"/>
    <w:rsid w:val="005A4679"/>
    <w:rsid w:val="005D3F95"/>
    <w:rsid w:val="005F7BAD"/>
    <w:rsid w:val="006051BD"/>
    <w:rsid w:val="00620C08"/>
    <w:rsid w:val="0065091C"/>
    <w:rsid w:val="006627E0"/>
    <w:rsid w:val="00676DD9"/>
    <w:rsid w:val="006B489F"/>
    <w:rsid w:val="007013EE"/>
    <w:rsid w:val="0071148B"/>
    <w:rsid w:val="00713B86"/>
    <w:rsid w:val="007148A1"/>
    <w:rsid w:val="007236D5"/>
    <w:rsid w:val="00726D3A"/>
    <w:rsid w:val="00746451"/>
    <w:rsid w:val="00783CB2"/>
    <w:rsid w:val="00794686"/>
    <w:rsid w:val="00827D34"/>
    <w:rsid w:val="00835162"/>
    <w:rsid w:val="00841FEF"/>
    <w:rsid w:val="008A4544"/>
    <w:rsid w:val="008F18C1"/>
    <w:rsid w:val="00902648"/>
    <w:rsid w:val="00913B09"/>
    <w:rsid w:val="00945E1E"/>
    <w:rsid w:val="009C0315"/>
    <w:rsid w:val="009F069F"/>
    <w:rsid w:val="00A127C2"/>
    <w:rsid w:val="00A42773"/>
    <w:rsid w:val="00A67F06"/>
    <w:rsid w:val="00A974E7"/>
    <w:rsid w:val="00AD3B64"/>
    <w:rsid w:val="00AD3B82"/>
    <w:rsid w:val="00AF022E"/>
    <w:rsid w:val="00AF366B"/>
    <w:rsid w:val="00AF5456"/>
    <w:rsid w:val="00AF5F5C"/>
    <w:rsid w:val="00B04759"/>
    <w:rsid w:val="00B77A02"/>
    <w:rsid w:val="00B920C2"/>
    <w:rsid w:val="00C11466"/>
    <w:rsid w:val="00C13FF8"/>
    <w:rsid w:val="00C1756E"/>
    <w:rsid w:val="00C401BA"/>
    <w:rsid w:val="00C45E8D"/>
    <w:rsid w:val="00C65642"/>
    <w:rsid w:val="00C93C83"/>
    <w:rsid w:val="00CD5277"/>
    <w:rsid w:val="00CE3C05"/>
    <w:rsid w:val="00D00380"/>
    <w:rsid w:val="00D079F4"/>
    <w:rsid w:val="00D50F2D"/>
    <w:rsid w:val="00D54DBE"/>
    <w:rsid w:val="00D7347A"/>
    <w:rsid w:val="00E1558B"/>
    <w:rsid w:val="00E56F26"/>
    <w:rsid w:val="00E95291"/>
    <w:rsid w:val="00E95E6D"/>
    <w:rsid w:val="00EB201E"/>
    <w:rsid w:val="00EB6659"/>
    <w:rsid w:val="00EC7CAD"/>
    <w:rsid w:val="00EE32C7"/>
    <w:rsid w:val="00F53503"/>
    <w:rsid w:val="00FA2B0D"/>
    <w:rsid w:val="00FC2C5E"/>
    <w:rsid w:val="00F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9FEDAD5"/>
  <w15:chartTrackingRefBased/>
  <w15:docId w15:val="{5BC674C1-54B7-45F9-81BC-C54DF4CF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C45E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45E8D"/>
  </w:style>
  <w:style w:type="character" w:styleId="FootnoteReference">
    <w:name w:val="footnote reference"/>
    <w:rsid w:val="00C45E8D"/>
    <w:rPr>
      <w:vertAlign w:val="superscript"/>
    </w:rPr>
  </w:style>
  <w:style w:type="paragraph" w:styleId="BalloonText">
    <w:name w:val="Balloon Text"/>
    <w:basedOn w:val="Normal"/>
    <w:link w:val="BalloonTextChar"/>
    <w:rsid w:val="00AF02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F022E"/>
    <w:rPr>
      <w:rFonts w:ascii="Segoe UI" w:hAnsi="Segoe UI" w:cs="Segoe UI"/>
      <w:sz w:val="18"/>
      <w:szCs w:val="18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B060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95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ibgovernors@ei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</vt:lpstr>
    </vt:vector>
  </TitlesOfParts>
  <Company>BEI | EIB</Company>
  <LinksUpToDate>false</LinksUpToDate>
  <CharactersWithSpaces>759</CharactersWithSpaces>
  <SharedDoc>false</SharedDoc>
  <HLinks>
    <vt:vector size="6" baseType="variant">
      <vt:variant>
        <vt:i4>1966139</vt:i4>
      </vt:variant>
      <vt:variant>
        <vt:i4>2</vt:i4>
      </vt:variant>
      <vt:variant>
        <vt:i4>0</vt:i4>
      </vt:variant>
      <vt:variant>
        <vt:i4>5</vt:i4>
      </vt:variant>
      <vt:variant>
        <vt:lpwstr>mailto:casec@eib.org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</dc:title>
  <dc:subject/>
  <dc:creator>SEILER</dc:creator>
  <cp:keywords/>
  <dc:description/>
  <cp:lastModifiedBy>ANGHI Tamar</cp:lastModifiedBy>
  <cp:revision>3</cp:revision>
  <cp:lastPrinted>2013-01-09T09:06:00Z</cp:lastPrinted>
  <dcterms:created xsi:type="dcterms:W3CDTF">2025-05-02T09:52:00Z</dcterms:created>
  <dcterms:modified xsi:type="dcterms:W3CDTF">2025-05-19T20:27:00Z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e2cb69-e3fc-4f7b-9e98-62927e4fcbd6_Enabled">
    <vt:lpwstr>true</vt:lpwstr>
  </property>
  <property fmtid="{D5CDD505-2E9C-101B-9397-08002B2CF9AE}" pid="3" name="MSIP_Label_9fe2cb69-e3fc-4f7b-9e98-62927e4fcbd6_SetDate">
    <vt:lpwstr>2025-05-23T07:31:57Z</vt:lpwstr>
  </property>
  <property fmtid="{D5CDD505-2E9C-101B-9397-08002B2CF9AE}" pid="4" name="MSIP_Label_9fe2cb69-e3fc-4f7b-9e98-62927e4fcbd6_Method">
    <vt:lpwstr>Standard</vt:lpwstr>
  </property>
  <property fmtid="{D5CDD505-2E9C-101B-9397-08002B2CF9AE}" pid="5" name="MSIP_Label_9fe2cb69-e3fc-4f7b-9e98-62927e4fcbd6_Name">
    <vt:lpwstr>Default Confidential</vt:lpwstr>
  </property>
  <property fmtid="{D5CDD505-2E9C-101B-9397-08002B2CF9AE}" pid="6" name="MSIP_Label_9fe2cb69-e3fc-4f7b-9e98-62927e4fcbd6_SiteId">
    <vt:lpwstr>0b96d5d2-d153-4370-a2c7-8a926f24c8a1</vt:lpwstr>
  </property>
  <property fmtid="{D5CDD505-2E9C-101B-9397-08002B2CF9AE}" pid="7" name="MSIP_Label_9fe2cb69-e3fc-4f7b-9e98-62927e4fcbd6_ActionId">
    <vt:lpwstr>b34a0389-bbd6-4f7b-a6dc-d89d06d84538</vt:lpwstr>
  </property>
  <property fmtid="{D5CDD505-2E9C-101B-9397-08002B2CF9AE}" pid="8" name="MSIP_Label_9fe2cb69-e3fc-4f7b-9e98-62927e4fcbd6_ContentBits">
    <vt:lpwstr>0</vt:lpwstr>
  </property>
</Properties>
</file>